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bidi w:val="1"/>
        <w:spacing w:after="120" w:before="120" w:lineRule="auto"/>
        <w:contextualSpacing w:val="0"/>
        <w:jc w:val="center"/>
        <w:rPr>
          <w:rFonts w:ascii="Sakkal Majalla" w:cs="Sakkal Majalla" w:eastAsia="Sakkal Majalla" w:hAnsi="Sakkal Majalla"/>
          <w:sz w:val="36"/>
          <w:szCs w:val="36"/>
          <w:u w:val="single"/>
        </w:rPr>
      </w:pPr>
      <w:r w:rsidDel="00000000" w:rsidR="00000000" w:rsidRPr="00000000">
        <w:rPr>
          <w:rFonts w:ascii="Sakkal Majalla" w:cs="Sakkal Majalla" w:eastAsia="Sakkal Majalla" w:hAnsi="Sakkal Majalla"/>
          <w:color w:val="000000"/>
          <w:sz w:val="36"/>
          <w:szCs w:val="36"/>
          <w:highlight w:val="lightGray"/>
          <w:u w:val="single"/>
          <w:rtl w:val="1"/>
        </w:rPr>
        <w:t xml:space="preserve">مذكرات</w:t>
      </w:r>
      <w:r w:rsidDel="00000000" w:rsidR="00000000" w:rsidRPr="00000000">
        <w:rPr>
          <w:rFonts w:ascii="Sakkal Majalla" w:cs="Sakkal Majalla" w:eastAsia="Sakkal Majalla" w:hAnsi="Sakkal Majalla"/>
          <w:color w:val="000000"/>
          <w:sz w:val="36"/>
          <w:szCs w:val="36"/>
          <w:highlight w:val="lightGray"/>
          <w:u w:val="singl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color w:val="000000"/>
          <w:sz w:val="36"/>
          <w:szCs w:val="36"/>
          <w:highlight w:val="lightGray"/>
          <w:u w:val="single"/>
          <w:rtl w:val="1"/>
        </w:rPr>
        <w:t xml:space="preserve">التفاهم</w:t>
      </w:r>
      <w:r w:rsidDel="00000000" w:rsidR="00000000" w:rsidRPr="00000000">
        <w:rPr>
          <w:rFonts w:ascii="Sakkal Majalla" w:cs="Sakkal Majalla" w:eastAsia="Sakkal Majalla" w:hAnsi="Sakkal Majalla"/>
          <w:color w:val="000000"/>
          <w:sz w:val="36"/>
          <w:szCs w:val="36"/>
          <w:highlight w:val="lightGray"/>
          <w:u w:val="singl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color w:val="000000"/>
          <w:sz w:val="36"/>
          <w:szCs w:val="36"/>
          <w:highlight w:val="lightGray"/>
          <w:u w:val="single"/>
          <w:rtl w:val="1"/>
        </w:rPr>
        <w:t xml:space="preserve">والشراكات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akkal Majalla" w:cs="Sakkal Majalla" w:eastAsia="Sakkal Majalla" w:hAnsi="Sakkal Majalla"/>
          <w:sz w:val="36"/>
          <w:szCs w:val="36"/>
          <w:highlight w:val="lightGray"/>
          <w:u w:val="singl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6"/>
          <w:szCs w:val="36"/>
          <w:highlight w:val="lightGray"/>
          <w:u w:val="single"/>
          <w:rtl w:val="1"/>
        </w:rPr>
        <w:t xml:space="preserve">والمبادرات</w:t>
      </w:r>
      <w:r w:rsidDel="00000000" w:rsidR="00000000" w:rsidRPr="00000000">
        <w:rPr>
          <w:rFonts w:ascii="Sakkal Majalla" w:cs="Sakkal Majalla" w:eastAsia="Sakkal Majalla" w:hAnsi="Sakkal Majalla"/>
          <w:sz w:val="36"/>
          <w:szCs w:val="36"/>
          <w:highlight w:val="lightGray"/>
          <w:u w:val="single"/>
          <w:rtl w:val="1"/>
        </w:rPr>
        <w:t xml:space="preserve">  </w:t>
      </w:r>
      <w:r w:rsidDel="00000000" w:rsidR="00000000" w:rsidRPr="00000000">
        <w:rPr>
          <w:rFonts w:ascii="Sakkal Majalla" w:cs="Sakkal Majalla" w:eastAsia="Sakkal Majalla" w:hAnsi="Sakkal Majalla"/>
          <w:sz w:val="36"/>
          <w:szCs w:val="36"/>
          <w:highlight w:val="lightGray"/>
          <w:u w:val="single"/>
          <w:rtl w:val="1"/>
        </w:rPr>
        <w:t xml:space="preserve">والمشروعات</w:t>
      </w:r>
      <w:r w:rsidDel="00000000" w:rsidR="00000000" w:rsidRPr="00000000">
        <w:rPr>
          <w:rFonts w:ascii="Sakkal Majalla" w:cs="Sakkal Majalla" w:eastAsia="Sakkal Majalla" w:hAnsi="Sakkal Majalla"/>
          <w:sz w:val="36"/>
          <w:szCs w:val="36"/>
          <w:highlight w:val="lightGray"/>
          <w:u w:val="singl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6"/>
          <w:szCs w:val="36"/>
          <w:highlight w:val="lightGray"/>
          <w:u w:val="single"/>
          <w:rtl w:val="1"/>
        </w:rPr>
        <w:t xml:space="preserve">في</w:t>
      </w:r>
      <w:r w:rsidDel="00000000" w:rsidR="00000000" w:rsidRPr="00000000">
        <w:rPr>
          <w:rFonts w:ascii="Sakkal Majalla" w:cs="Sakkal Majalla" w:eastAsia="Sakkal Majalla" w:hAnsi="Sakkal Majalla"/>
          <w:sz w:val="36"/>
          <w:szCs w:val="36"/>
          <w:highlight w:val="lightGray"/>
          <w:u w:val="singl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6"/>
          <w:szCs w:val="36"/>
          <w:highlight w:val="lightGray"/>
          <w:u w:val="single"/>
          <w:rtl w:val="1"/>
        </w:rPr>
        <w:t xml:space="preserve">الإدارة</w:t>
      </w:r>
      <w:r w:rsidDel="00000000" w:rsidR="00000000" w:rsidRPr="00000000">
        <w:rPr>
          <w:rFonts w:ascii="Sakkal Majalla" w:cs="Sakkal Majalla" w:eastAsia="Sakkal Majalla" w:hAnsi="Sakkal Majalla"/>
          <w:sz w:val="36"/>
          <w:szCs w:val="36"/>
          <w:highlight w:val="lightGray"/>
          <w:u w:val="singl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6"/>
          <w:szCs w:val="36"/>
          <w:highlight w:val="lightGray"/>
          <w:u w:val="single"/>
          <w:rtl w:val="1"/>
        </w:rPr>
        <w:t xml:space="preserve">العامة</w:t>
      </w:r>
      <w:r w:rsidDel="00000000" w:rsidR="00000000" w:rsidRPr="00000000">
        <w:rPr>
          <w:rFonts w:ascii="Sakkal Majalla" w:cs="Sakkal Majalla" w:eastAsia="Sakkal Majalla" w:hAnsi="Sakkal Majalla"/>
          <w:sz w:val="36"/>
          <w:szCs w:val="36"/>
          <w:highlight w:val="lightGray"/>
          <w:u w:val="singl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6"/>
          <w:szCs w:val="36"/>
          <w:highlight w:val="lightGray"/>
          <w:u w:val="single"/>
          <w:rtl w:val="1"/>
        </w:rPr>
        <w:t xml:space="preserve">للتربية</w:t>
      </w:r>
      <w:r w:rsidDel="00000000" w:rsidR="00000000" w:rsidRPr="00000000">
        <w:rPr>
          <w:rFonts w:ascii="Sakkal Majalla" w:cs="Sakkal Majalla" w:eastAsia="Sakkal Majalla" w:hAnsi="Sakkal Majalla"/>
          <w:sz w:val="36"/>
          <w:szCs w:val="36"/>
          <w:highlight w:val="lightGray"/>
          <w:u w:val="singl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36"/>
          <w:szCs w:val="36"/>
          <w:highlight w:val="lightGray"/>
          <w:u w:val="single"/>
          <w:rtl w:val="1"/>
        </w:rPr>
        <w:t xml:space="preserve">الخاصة</w:t>
      </w: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4591.000000000002" w:type="dxa"/>
        <w:jc w:val="left"/>
        <w:tblInd w:w="0.0" w:type="dxa"/>
        <w:tblBorders>
          <w:top w:color="ffd965" w:space="0" w:sz="4" w:val="single"/>
          <w:left w:color="ffd965" w:space="0" w:sz="4" w:val="single"/>
          <w:bottom w:color="ffd965" w:space="0" w:sz="4" w:val="single"/>
          <w:right w:color="ffd965" w:space="0" w:sz="4" w:val="single"/>
          <w:insideH w:color="ffd965" w:space="0" w:sz="4" w:val="single"/>
          <w:insideV w:color="ffd965" w:space="0" w:sz="4" w:val="single"/>
        </w:tblBorders>
        <w:tblLayout w:type="fixed"/>
        <w:tblLook w:val="04A0"/>
      </w:tblPr>
      <w:tblGrid>
        <w:gridCol w:w="669"/>
        <w:gridCol w:w="709"/>
        <w:gridCol w:w="1864"/>
        <w:gridCol w:w="1013"/>
        <w:gridCol w:w="1681"/>
        <w:gridCol w:w="5823"/>
        <w:gridCol w:w="2832"/>
        <w:tblGridChange w:id="0">
          <w:tblGrid>
            <w:gridCol w:w="669"/>
            <w:gridCol w:w="709"/>
            <w:gridCol w:w="1864"/>
            <w:gridCol w:w="1013"/>
            <w:gridCol w:w="1681"/>
            <w:gridCol w:w="5823"/>
            <w:gridCol w:w="2832"/>
          </w:tblGrid>
        </w:tblGridChange>
      </w:tblGrid>
      <w:tr>
        <w:trPr>
          <w:trHeight w:val="120" w:hRule="atLeast"/>
        </w:trPr>
        <w:tc>
          <w:tcPr/>
          <w:p w:rsidR="00000000" w:rsidDel="00000000" w:rsidP="00000000" w:rsidRDefault="00000000" w:rsidRPr="00000000" w14:paraId="00000001">
            <w:pPr>
              <w:bidi w:val="1"/>
              <w:spacing w:after="100" w:before="100" w:lineRule="auto"/>
              <w:contextualSpacing w:val="0"/>
              <w:jc w:val="center"/>
              <w:rPr>
                <w:rFonts w:ascii="Sakkal Majalla" w:cs="Sakkal Majalla" w:eastAsia="Sakkal Majalla" w:hAnsi="Sakkal Majalla"/>
                <w:b w:val="0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02">
            <w:pPr>
              <w:bidi w:val="1"/>
              <w:spacing w:after="100" w:before="100" w:lineRule="auto"/>
              <w:contextualSpacing w:val="0"/>
              <w:jc w:val="center"/>
              <w:rPr>
                <w:rFonts w:ascii="Sakkal Majalla" w:cs="Sakkal Majalla" w:eastAsia="Sakkal Majalla" w:hAnsi="Sakkal Majalla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36"/>
                <w:szCs w:val="36"/>
                <w:rtl w:val="1"/>
              </w:rPr>
              <w:t xml:space="preserve">مذكرات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36"/>
                <w:szCs w:val="36"/>
                <w:rtl w:val="1"/>
              </w:rPr>
              <w:t xml:space="preserve">التفاهم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36"/>
                <w:szCs w:val="36"/>
                <w:rtl w:val="1"/>
              </w:rPr>
              <w:t xml:space="preserve">والشراكات</w:t>
            </w:r>
          </w:p>
        </w:tc>
      </w:tr>
      <w:tr>
        <w:trPr>
          <w:trHeight w:val="120" w:hRule="atLeast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contextualSpacing w:val="1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bidi w:val="1"/>
              <w:contextualSpacing w:val="0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نوعها</w:t>
            </w:r>
          </w:p>
        </w:tc>
        <w:tc>
          <w:tcPr/>
          <w:p w:rsidR="00000000" w:rsidDel="00000000" w:rsidP="00000000" w:rsidRDefault="00000000" w:rsidRPr="00000000" w14:paraId="0000000A">
            <w:pPr>
              <w:bidi w:val="1"/>
              <w:contextualSpacing w:val="0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عنوانها</w:t>
            </w:r>
          </w:p>
        </w:tc>
        <w:tc>
          <w:tcPr/>
          <w:p w:rsidR="00000000" w:rsidDel="00000000" w:rsidP="00000000" w:rsidRDefault="00000000" w:rsidRPr="00000000" w14:paraId="0000000B">
            <w:pPr>
              <w:bidi w:val="1"/>
              <w:contextualSpacing w:val="0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الطرف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الأول</w:t>
            </w:r>
          </w:p>
        </w:tc>
        <w:tc>
          <w:tcPr/>
          <w:p w:rsidR="00000000" w:rsidDel="00000000" w:rsidP="00000000" w:rsidRDefault="00000000" w:rsidRPr="00000000" w14:paraId="0000000C">
            <w:pPr>
              <w:bidi w:val="1"/>
              <w:contextualSpacing w:val="0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الطرف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الثاني</w:t>
            </w:r>
          </w:p>
        </w:tc>
        <w:tc>
          <w:tcPr/>
          <w:p w:rsidR="00000000" w:rsidDel="00000000" w:rsidP="00000000" w:rsidRDefault="00000000" w:rsidRPr="00000000" w14:paraId="0000000D">
            <w:pPr>
              <w:bidi w:val="1"/>
              <w:spacing w:after="100" w:before="100" w:lineRule="auto"/>
              <w:contextualSpacing w:val="0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موضوعها</w:t>
            </w:r>
          </w:p>
        </w:tc>
        <w:tc>
          <w:tcPr/>
          <w:p w:rsidR="00000000" w:rsidDel="00000000" w:rsidP="00000000" w:rsidRDefault="00000000" w:rsidRPr="00000000" w14:paraId="0000000E">
            <w:pPr>
              <w:bidi w:val="1"/>
              <w:spacing w:after="100" w:before="100" w:lineRule="auto"/>
              <w:contextualSpacing w:val="0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المدة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</w:p>
        </w:tc>
      </w:tr>
      <w:tr>
        <w:trPr>
          <w:trHeight w:val="120" w:hRule="atLeast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contextualSpacing w:val="1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bidi w:val="1"/>
              <w:contextualSpacing w:val="0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مذكرة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تفاهم</w:t>
            </w:r>
          </w:p>
        </w:tc>
        <w:tc>
          <w:tcPr/>
          <w:p w:rsidR="00000000" w:rsidDel="00000000" w:rsidP="00000000" w:rsidRDefault="00000000" w:rsidRPr="00000000" w14:paraId="00000011">
            <w:pPr>
              <w:bidi w:val="1"/>
              <w:contextualSpacing w:val="0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مذكرة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تفاهم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بين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وزارة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التعليم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بالمملكة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العربية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السعودية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والجمعية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السعودية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لاضطراب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فرط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الحركة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وتشتت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الانتباه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(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إشراق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12">
            <w:pPr>
              <w:bidi w:val="1"/>
              <w:contextualSpacing w:val="0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وزارة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التعليم</w:t>
            </w:r>
          </w:p>
        </w:tc>
        <w:tc>
          <w:tcPr/>
          <w:p w:rsidR="00000000" w:rsidDel="00000000" w:rsidP="00000000" w:rsidRDefault="00000000" w:rsidRPr="00000000" w14:paraId="00000013">
            <w:pPr>
              <w:bidi w:val="1"/>
              <w:contextualSpacing w:val="0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الجمعية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السعودية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لاضطراب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فرط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الحركة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وتشتت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الانتباه</w:t>
            </w:r>
          </w:p>
        </w:tc>
        <w:tc>
          <w:tcPr/>
          <w:p w:rsidR="00000000" w:rsidDel="00000000" w:rsidP="00000000" w:rsidRDefault="00000000" w:rsidRPr="00000000" w14:paraId="00000014">
            <w:pPr>
              <w:bidi w:val="1"/>
              <w:spacing w:after="100" w:before="100" w:lineRule="auto"/>
              <w:contextualSpacing w:val="0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المجالات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التوعوية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والإرشادية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والاستشارية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/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التدريبية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/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المجالات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البحثية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/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خدمات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التشخيص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والقياس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15">
            <w:pPr>
              <w:bidi w:val="1"/>
              <w:spacing w:after="100" w:before="100" w:lineRule="auto"/>
              <w:contextualSpacing w:val="0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٢٨/٢/١٤٤٢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هجري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لمدة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ثلاث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سنوات</w:t>
            </w:r>
          </w:p>
        </w:tc>
      </w:tr>
      <w:tr>
        <w:trPr>
          <w:trHeight w:val="120" w:hRule="atLeast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contextualSpacing w:val="1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bidi w:val="1"/>
              <w:contextualSpacing w:val="0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مذكرة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تفاهم</w:t>
            </w:r>
          </w:p>
        </w:tc>
        <w:tc>
          <w:tcPr/>
          <w:p w:rsidR="00000000" w:rsidDel="00000000" w:rsidP="00000000" w:rsidRDefault="00000000" w:rsidRPr="00000000" w14:paraId="00000018">
            <w:pPr>
              <w:bidi w:val="1"/>
              <w:contextualSpacing w:val="0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التعاون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بين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الوزارة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والجمعية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الخيرية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لصعوبات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التعلم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مجال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صعوبات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التعلم</w:t>
            </w:r>
          </w:p>
        </w:tc>
        <w:tc>
          <w:tcPr/>
          <w:p w:rsidR="00000000" w:rsidDel="00000000" w:rsidP="00000000" w:rsidRDefault="00000000" w:rsidRPr="00000000" w14:paraId="00000019">
            <w:pPr>
              <w:bidi w:val="1"/>
              <w:contextualSpacing w:val="0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وزارة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التعليم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وكالة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التعليمية</w:t>
            </w:r>
          </w:p>
        </w:tc>
        <w:tc>
          <w:tcPr/>
          <w:p w:rsidR="00000000" w:rsidDel="00000000" w:rsidP="00000000" w:rsidRDefault="00000000" w:rsidRPr="00000000" w14:paraId="0000001A">
            <w:pPr>
              <w:bidi w:val="1"/>
              <w:contextualSpacing w:val="0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الجمعية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الخيرية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لصعوبات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التعلم</w:t>
            </w:r>
          </w:p>
        </w:tc>
        <w:tc>
          <w:tcPr/>
          <w:p w:rsidR="00000000" w:rsidDel="00000000" w:rsidP="00000000" w:rsidRDefault="00000000" w:rsidRPr="00000000" w14:paraId="0000001B">
            <w:pPr>
              <w:bidi w:val="1"/>
              <w:spacing w:after="100" w:before="100" w:lineRule="auto"/>
              <w:contextualSpacing w:val="0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١-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الاستفادة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التدريبية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لمعلمي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صعوبات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التعلم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.٢-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الاستشارات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التربوية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والاسرية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مجال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صعوبات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التعلم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٣-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اجراء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التشخيص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الحالات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ترد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الطرف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الاول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  ٤-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تقديم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المطبوعات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التوعوية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والمواد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التدريبية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تستهدف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الميدان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التربوي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٤-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اقامة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الحملات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التوعوية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والمناسبات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العالمية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لبرامج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صعوبات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التعلم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٥-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دعم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الطلبة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الموهوبين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ذوي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صعوبات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التعلم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بتبني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قدراتهم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واشراكهم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الانشطة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والفعاليات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المختلفة</w:t>
            </w:r>
          </w:p>
        </w:tc>
        <w:tc>
          <w:tcPr/>
          <w:p w:rsidR="00000000" w:rsidDel="00000000" w:rsidP="00000000" w:rsidRDefault="00000000" w:rsidRPr="00000000" w14:paraId="0000001C">
            <w:pPr>
              <w:bidi w:val="1"/>
              <w:spacing w:after="100" w:before="100" w:lineRule="auto"/>
              <w:contextualSpacing w:val="0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ثلاث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سنوات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تبدا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١٤٤٣/٣/٢٨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الموافق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2021/11/3</w:t>
            </w:r>
          </w:p>
        </w:tc>
      </w:tr>
      <w:tr>
        <w:trPr>
          <w:trHeight w:val="120" w:hRule="atLeast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contextualSpacing w:val="1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bidi w:val="1"/>
              <w:contextualSpacing w:val="0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مذكرة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تفاهم</w:t>
            </w:r>
          </w:p>
        </w:tc>
        <w:tc>
          <w:tcPr/>
          <w:p w:rsidR="00000000" w:rsidDel="00000000" w:rsidP="00000000" w:rsidRDefault="00000000" w:rsidRPr="00000000" w14:paraId="0000001F">
            <w:pPr>
              <w:bidi w:val="1"/>
              <w:contextualSpacing w:val="0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مذكرة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تفاهم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بين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وزارة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التعليم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ومؤسسة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سعي</w:t>
            </w:r>
          </w:p>
        </w:tc>
        <w:tc>
          <w:tcPr/>
          <w:p w:rsidR="00000000" w:rsidDel="00000000" w:rsidP="00000000" w:rsidRDefault="00000000" w:rsidRPr="00000000" w14:paraId="00000020">
            <w:pPr>
              <w:bidi w:val="1"/>
              <w:contextualSpacing w:val="0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وزارة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التعليم</w:t>
            </w:r>
          </w:p>
        </w:tc>
        <w:tc>
          <w:tcPr/>
          <w:p w:rsidR="00000000" w:rsidDel="00000000" w:rsidP="00000000" w:rsidRDefault="00000000" w:rsidRPr="00000000" w14:paraId="00000021">
            <w:pPr>
              <w:bidi w:val="1"/>
              <w:contextualSpacing w:val="0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مؤسسة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سعي</w:t>
            </w:r>
          </w:p>
        </w:tc>
        <w:tc>
          <w:tcPr/>
          <w:p w:rsidR="00000000" w:rsidDel="00000000" w:rsidP="00000000" w:rsidRDefault="00000000" w:rsidRPr="00000000" w14:paraId="00000022">
            <w:pPr>
              <w:bidi w:val="1"/>
              <w:spacing w:after="100" w:before="100" w:lineRule="auto"/>
              <w:contextualSpacing w:val="0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1-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التعاون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تأهيل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وتوظيف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الأشخاص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ذوي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الاعاقة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. 2-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التعاون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خلق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وتنفيذ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الملتقيات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والبرامج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الخاصة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بذوي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الإعاقة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. 3-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التعاون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نشر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قصص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نجاح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الموظفين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ذوي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الاعاقة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طريق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القنوات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وحسابات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التواصل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الاجتماعي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للطرفين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. 4-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تزويد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الراغبين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برابط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التقديم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منصة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سعي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قبل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وزارة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التعليم</w:t>
            </w:r>
          </w:p>
        </w:tc>
        <w:tc>
          <w:tcPr/>
          <w:p w:rsidR="00000000" w:rsidDel="00000000" w:rsidP="00000000" w:rsidRDefault="00000000" w:rsidRPr="00000000" w14:paraId="00000023">
            <w:pPr>
              <w:bidi w:val="1"/>
              <w:spacing w:after="100" w:before="100" w:lineRule="auto"/>
              <w:contextualSpacing w:val="0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3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سنوات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7 / 10 / 1443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7 / 10 / 1444</w:t>
            </w:r>
          </w:p>
        </w:tc>
      </w:tr>
      <w:tr>
        <w:trPr>
          <w:trHeight w:val="120" w:hRule="atLeast"/>
        </w:trPr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contextualSpacing w:val="1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bidi w:val="1"/>
              <w:contextualSpacing w:val="0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مذكرة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تفاهم</w:t>
            </w:r>
          </w:p>
        </w:tc>
        <w:tc>
          <w:tcPr/>
          <w:p w:rsidR="00000000" w:rsidDel="00000000" w:rsidP="00000000" w:rsidRDefault="00000000" w:rsidRPr="00000000" w14:paraId="00000026">
            <w:pPr>
              <w:bidi w:val="1"/>
              <w:contextualSpacing w:val="0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مذكرة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تفاهم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بين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وزارة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التعليم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وجمعية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سند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لدعم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الأطفال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المرضى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بالسرطان</w:t>
            </w:r>
          </w:p>
        </w:tc>
        <w:tc>
          <w:tcPr/>
          <w:p w:rsidR="00000000" w:rsidDel="00000000" w:rsidP="00000000" w:rsidRDefault="00000000" w:rsidRPr="00000000" w14:paraId="00000027">
            <w:pPr>
              <w:bidi w:val="1"/>
              <w:contextualSpacing w:val="0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وزارة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التعليم</w:t>
            </w:r>
          </w:p>
        </w:tc>
        <w:tc>
          <w:tcPr/>
          <w:p w:rsidR="00000000" w:rsidDel="00000000" w:rsidP="00000000" w:rsidRDefault="00000000" w:rsidRPr="00000000" w14:paraId="00000028">
            <w:pPr>
              <w:bidi w:val="1"/>
              <w:contextualSpacing w:val="0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جمعية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سند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لدعم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الأطفال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المرضى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بالسرطان</w:t>
            </w:r>
          </w:p>
        </w:tc>
        <w:tc>
          <w:tcPr/>
          <w:p w:rsidR="00000000" w:rsidDel="00000000" w:rsidP="00000000" w:rsidRDefault="00000000" w:rsidRPr="00000000" w14:paraId="00000029">
            <w:pPr>
              <w:bidi w:val="1"/>
              <w:spacing w:after="100" w:before="100" w:lineRule="auto"/>
              <w:contextualSpacing w:val="0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تقديم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الخدمات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للأطفال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المرضى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بالسرطان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بالمستشفيات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ومراكز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الأورام</w:t>
            </w:r>
          </w:p>
        </w:tc>
        <w:tc>
          <w:tcPr/>
          <w:p w:rsidR="00000000" w:rsidDel="00000000" w:rsidP="00000000" w:rsidRDefault="00000000" w:rsidRPr="00000000" w14:paraId="0000002A">
            <w:pPr>
              <w:bidi w:val="1"/>
              <w:spacing w:after="100" w:before="100" w:lineRule="auto"/>
              <w:contextualSpacing w:val="0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٢٠١٧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ومستمره</w:t>
            </w:r>
          </w:p>
        </w:tc>
      </w:tr>
      <w:tr>
        <w:trPr>
          <w:trHeight w:val="120" w:hRule="atLeast"/>
        </w:trP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contextualSpacing w:val="1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bidi w:val="1"/>
              <w:contextualSpacing w:val="0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مذكرة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تفاهم</w:t>
            </w:r>
          </w:p>
        </w:tc>
        <w:tc>
          <w:tcPr/>
          <w:p w:rsidR="00000000" w:rsidDel="00000000" w:rsidP="00000000" w:rsidRDefault="00000000" w:rsidRPr="00000000" w14:paraId="0000002D">
            <w:pPr>
              <w:bidi w:val="1"/>
              <w:contextualSpacing w:val="0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مذكرة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تفاهم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بين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وزارة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التعليم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ووزارة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الصحة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لاضطرابات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النمو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والسلوك</w:t>
            </w:r>
          </w:p>
        </w:tc>
        <w:tc>
          <w:tcPr/>
          <w:p w:rsidR="00000000" w:rsidDel="00000000" w:rsidP="00000000" w:rsidRDefault="00000000" w:rsidRPr="00000000" w14:paraId="0000002E">
            <w:pPr>
              <w:bidi w:val="1"/>
              <w:contextualSpacing w:val="0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وزارة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التعليم</w:t>
            </w:r>
          </w:p>
        </w:tc>
        <w:tc>
          <w:tcPr/>
          <w:p w:rsidR="00000000" w:rsidDel="00000000" w:rsidP="00000000" w:rsidRDefault="00000000" w:rsidRPr="00000000" w14:paraId="0000002F">
            <w:pPr>
              <w:bidi w:val="1"/>
              <w:contextualSpacing w:val="0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وزارة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الصحة</w:t>
            </w:r>
          </w:p>
        </w:tc>
        <w:tc>
          <w:tcPr/>
          <w:p w:rsidR="00000000" w:rsidDel="00000000" w:rsidP="00000000" w:rsidRDefault="00000000" w:rsidRPr="00000000" w14:paraId="00000030">
            <w:pPr>
              <w:bidi w:val="1"/>
              <w:spacing w:after="100" w:before="100" w:lineRule="auto"/>
              <w:contextualSpacing w:val="0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1-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تشخيص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الطلبة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ذوي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اضطراب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النمو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والسلوك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. 2-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تقديم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الجلسات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التشخيصية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والعلاجية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للطلبة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ذوي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اضطراب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النمو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والسلوك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مراكز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النمو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والسلوك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. 3-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المشاركة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التوعوية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والندوات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المحلية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والمؤتمرات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الاقليمية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والدولية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ذات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العلاقة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.4-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تدريب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وتطوير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الكوادر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البشرية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المتخصصة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وفق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أحدث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التوجهات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العالمية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. 5-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توفير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قاعدة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بيانات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للطلبة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ذوي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اضطرابات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النمو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والسلوك</w:t>
            </w:r>
          </w:p>
        </w:tc>
        <w:tc>
          <w:tcPr/>
          <w:p w:rsidR="00000000" w:rsidDel="00000000" w:rsidP="00000000" w:rsidRDefault="00000000" w:rsidRPr="00000000" w14:paraId="00000031">
            <w:pPr>
              <w:bidi w:val="1"/>
              <w:spacing w:after="100" w:before="100" w:lineRule="auto"/>
              <w:contextualSpacing w:val="0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3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سنوات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7 / 10 / 1443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7 / 10 / 1444</w:t>
            </w:r>
          </w:p>
        </w:tc>
      </w:tr>
      <w:tr>
        <w:trPr>
          <w:trHeight w:val="120" w:hRule="atLeast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contextualSpacing w:val="1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bidi w:val="1"/>
              <w:contextualSpacing w:val="0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مذكرة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تفاهم</w:t>
            </w:r>
          </w:p>
        </w:tc>
        <w:tc>
          <w:tcPr/>
          <w:p w:rsidR="00000000" w:rsidDel="00000000" w:rsidP="00000000" w:rsidRDefault="00000000" w:rsidRPr="00000000" w14:paraId="00000034">
            <w:pPr>
              <w:bidi w:val="1"/>
              <w:contextualSpacing w:val="0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بين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وزارة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التعليم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وجامعة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الأميرة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نورة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بنت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عبد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الرحمن</w:t>
            </w:r>
          </w:p>
        </w:tc>
        <w:tc>
          <w:tcPr/>
          <w:p w:rsidR="00000000" w:rsidDel="00000000" w:rsidP="00000000" w:rsidRDefault="00000000" w:rsidRPr="00000000" w14:paraId="00000035">
            <w:pPr>
              <w:bidi w:val="1"/>
              <w:contextualSpacing w:val="0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وزارة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التعليم</w:t>
            </w:r>
          </w:p>
        </w:tc>
        <w:tc>
          <w:tcPr/>
          <w:p w:rsidR="00000000" w:rsidDel="00000000" w:rsidP="00000000" w:rsidRDefault="00000000" w:rsidRPr="00000000" w14:paraId="00000036">
            <w:pPr>
              <w:bidi w:val="1"/>
              <w:contextualSpacing w:val="0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جامعة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الاميرة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نورة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بنت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عبدالرحمن</w:t>
            </w:r>
          </w:p>
        </w:tc>
        <w:tc>
          <w:tcPr/>
          <w:p w:rsidR="00000000" w:rsidDel="00000000" w:rsidP="00000000" w:rsidRDefault="00000000" w:rsidRPr="00000000" w14:paraId="00000037">
            <w:pPr>
              <w:bidi w:val="1"/>
              <w:spacing w:after="100" w:before="100" w:lineRule="auto"/>
              <w:contextualSpacing w:val="0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تهدف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هذه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المذكرة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تهيئة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طالبات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المرحلة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الثانوية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ذوات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الإعاقة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للمرحلة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الجامعية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وتعريفهن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بإجراءات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القبول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وفق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المعايير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المتبعة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الجامعات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38">
            <w:pPr>
              <w:bidi w:val="1"/>
              <w:spacing w:after="100" w:before="100" w:lineRule="auto"/>
              <w:contextualSpacing w:val="0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14/10/2021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لمدة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ثلاث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سنوات</w:t>
            </w:r>
          </w:p>
        </w:tc>
      </w:tr>
    </w:tbl>
    <w:p w:rsidR="00000000" w:rsidDel="00000000" w:rsidP="00000000" w:rsidRDefault="00000000" w:rsidRPr="00000000" w14:paraId="00000039">
      <w:pPr>
        <w:bidi w:val="1"/>
        <w:spacing w:after="120" w:before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bidi w:val="1"/>
        <w:spacing w:after="120" w:before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bidi w:val="1"/>
        <w:spacing w:after="120" w:before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bidi w:val="1"/>
        <w:spacing w:after="120" w:before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14591.0" w:type="dxa"/>
        <w:jc w:val="left"/>
        <w:tblInd w:w="0.0" w:type="dxa"/>
        <w:tblBorders>
          <w:top w:color="ffd965" w:space="0" w:sz="4" w:val="single"/>
          <w:left w:color="ffd965" w:space="0" w:sz="4" w:val="single"/>
          <w:bottom w:color="ffd965" w:space="0" w:sz="4" w:val="single"/>
          <w:right w:color="ffd965" w:space="0" w:sz="4" w:val="single"/>
          <w:insideH w:color="ffd965" w:space="0" w:sz="4" w:val="single"/>
          <w:insideV w:color="ffd965" w:space="0" w:sz="4" w:val="single"/>
        </w:tblBorders>
        <w:tblLayout w:type="fixed"/>
        <w:tblLook w:val="04A0"/>
      </w:tblPr>
      <w:tblGrid>
        <w:gridCol w:w="1136"/>
        <w:gridCol w:w="4962"/>
        <w:gridCol w:w="2551"/>
        <w:gridCol w:w="2552"/>
        <w:gridCol w:w="3390"/>
        <w:tblGridChange w:id="0">
          <w:tblGrid>
            <w:gridCol w:w="1136"/>
            <w:gridCol w:w="4962"/>
            <w:gridCol w:w="2551"/>
            <w:gridCol w:w="2552"/>
            <w:gridCol w:w="3390"/>
          </w:tblGrid>
        </w:tblGridChange>
      </w:tblGrid>
      <w:tr>
        <w:trPr>
          <w:trHeight w:val="120" w:hRule="atLeast"/>
        </w:trPr>
        <w:tc>
          <w:tcPr/>
          <w:p w:rsidR="00000000" w:rsidDel="00000000" w:rsidP="00000000" w:rsidRDefault="00000000" w:rsidRPr="00000000" w14:paraId="0000003D">
            <w:pPr>
              <w:bidi w:val="1"/>
              <w:contextualSpacing w:val="0"/>
              <w:jc w:val="center"/>
              <w:rPr>
                <w:rFonts w:ascii="Sakkal Majalla" w:cs="Sakkal Majalla" w:eastAsia="Sakkal Majalla" w:hAnsi="Sakkal Majalla"/>
                <w:b w:val="0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3E">
            <w:pPr>
              <w:bidi w:val="1"/>
              <w:contextualSpacing w:val="0"/>
              <w:jc w:val="center"/>
              <w:rPr>
                <w:rFonts w:ascii="Sakkal Majalla" w:cs="Sakkal Majalla" w:eastAsia="Sakkal Majalla" w:hAnsi="Sakkal Majalla"/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40"/>
                <w:szCs w:val="40"/>
                <w:rtl w:val="1"/>
              </w:rPr>
              <w:t xml:space="preserve">المبادرات</w:t>
            </w:r>
          </w:p>
        </w:tc>
      </w:tr>
      <w:tr>
        <w:trPr>
          <w:trHeight w:val="120" w:hRule="atLeast"/>
        </w:trPr>
        <w:tc>
          <w:tcPr>
            <w:vMerge w:val="restart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contextualSpacing w:val="1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bidi w:val="1"/>
              <w:contextualSpacing w:val="0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عنوانها</w:t>
            </w:r>
          </w:p>
        </w:tc>
        <w:tc>
          <w:tcPr/>
          <w:p w:rsidR="00000000" w:rsidDel="00000000" w:rsidP="00000000" w:rsidRDefault="00000000" w:rsidRPr="00000000" w14:paraId="00000044">
            <w:pPr>
              <w:bidi w:val="1"/>
              <w:contextualSpacing w:val="0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الجهة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المالكة</w:t>
            </w:r>
          </w:p>
        </w:tc>
        <w:tc>
          <w:tcPr/>
          <w:p w:rsidR="00000000" w:rsidDel="00000000" w:rsidP="00000000" w:rsidRDefault="00000000" w:rsidRPr="00000000" w14:paraId="00000045">
            <w:pPr>
              <w:bidi w:val="1"/>
              <w:contextualSpacing w:val="0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الجهة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المنفذة</w:t>
            </w:r>
          </w:p>
        </w:tc>
        <w:tc>
          <w:tcPr/>
          <w:p w:rsidR="00000000" w:rsidDel="00000000" w:rsidP="00000000" w:rsidRDefault="00000000" w:rsidRPr="00000000" w14:paraId="00000046">
            <w:pPr>
              <w:bidi w:val="1"/>
              <w:contextualSpacing w:val="0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بداية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ومدة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التنفيذ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العقد</w:t>
            </w:r>
          </w:p>
        </w:tc>
      </w:tr>
      <w:tr>
        <w:trPr>
          <w:trHeight w:val="400" w:hRule="atLeast"/>
        </w:trPr>
        <w:tc>
          <w:tcPr>
            <w:vMerge w:val="continue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bidi w:val="1"/>
              <w:contextualSpacing w:val="0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مبادرة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سياسة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وضمان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صول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ذوي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الإعاقة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9">
            <w:pPr>
              <w:bidi w:val="1"/>
              <w:contextualSpacing w:val="0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وكالة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الوزارة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للبرامج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 </w:t>
            </w:r>
          </w:p>
          <w:p w:rsidR="00000000" w:rsidDel="00000000" w:rsidP="00000000" w:rsidRDefault="00000000" w:rsidRPr="00000000" w14:paraId="0000004A">
            <w:pPr>
              <w:bidi w:val="1"/>
              <w:contextualSpacing w:val="0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4B">
            <w:pPr>
              <w:bidi w:val="1"/>
              <w:contextualSpacing w:val="0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شركة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تطوير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للخدمات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4C">
            <w:pPr>
              <w:bidi w:val="1"/>
              <w:contextualSpacing w:val="0"/>
              <w:jc w:val="center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سنتان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بدءا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من</w:t>
            </w:r>
          </w:p>
          <w:p w:rsidR="00000000" w:rsidDel="00000000" w:rsidP="00000000" w:rsidRDefault="00000000" w:rsidRPr="00000000" w14:paraId="0000004D">
            <w:pPr>
              <w:bidi w:val="1"/>
              <w:contextualSpacing w:val="0"/>
              <w:jc w:val="center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1/8/2021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م</w:t>
            </w:r>
          </w:p>
        </w:tc>
      </w:tr>
      <w:tr>
        <w:trPr>
          <w:trHeight w:val="920" w:hRule="atLeast"/>
        </w:trPr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contextualSpacing w:val="1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bidi w:val="1"/>
              <w:contextualSpacing w:val="0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مبادرة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رحلة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التعلم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الشامل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التعليم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العام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للطلبة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ذوي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الإعاقة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bidi w:val="1"/>
              <w:contextualSpacing w:val="0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شركة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تقنيات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التعليم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 (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تتكو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52">
            <w:pPr>
              <w:bidi w:val="1"/>
              <w:contextualSpacing w:val="0"/>
              <w:jc w:val="center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ثلاث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سنواتبدءا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من</w:t>
            </w:r>
          </w:p>
          <w:p w:rsidR="00000000" w:rsidDel="00000000" w:rsidP="00000000" w:rsidRDefault="00000000" w:rsidRPr="00000000" w14:paraId="00000053">
            <w:pPr>
              <w:bidi w:val="1"/>
              <w:contextualSpacing w:val="0"/>
              <w:jc w:val="center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20/4/2022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م</w:t>
            </w:r>
          </w:p>
        </w:tc>
      </w:tr>
    </w:tbl>
    <w:p w:rsidR="00000000" w:rsidDel="00000000" w:rsidP="00000000" w:rsidRDefault="00000000" w:rsidRPr="00000000" w14:paraId="00000054">
      <w:pPr>
        <w:bidi w:val="1"/>
        <w:spacing w:after="0" w:line="24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14591.000000000002" w:type="dxa"/>
        <w:jc w:val="left"/>
        <w:tblInd w:w="0.0" w:type="dxa"/>
        <w:tblBorders>
          <w:top w:color="ffd965" w:space="0" w:sz="4" w:val="single"/>
          <w:left w:color="ffd965" w:space="0" w:sz="4" w:val="single"/>
          <w:bottom w:color="ffd965" w:space="0" w:sz="4" w:val="single"/>
          <w:right w:color="ffd965" w:space="0" w:sz="4" w:val="single"/>
          <w:insideH w:color="ffd965" w:space="0" w:sz="4" w:val="single"/>
          <w:insideV w:color="ffd965" w:space="0" w:sz="4" w:val="single"/>
        </w:tblBorders>
        <w:tblLayout w:type="fixed"/>
        <w:tblLook w:val="04A0"/>
      </w:tblPr>
      <w:tblGrid>
        <w:gridCol w:w="1136"/>
        <w:gridCol w:w="4962"/>
        <w:gridCol w:w="2551"/>
        <w:gridCol w:w="3110"/>
        <w:gridCol w:w="2832"/>
        <w:tblGridChange w:id="0">
          <w:tblGrid>
            <w:gridCol w:w="1136"/>
            <w:gridCol w:w="4962"/>
            <w:gridCol w:w="2551"/>
            <w:gridCol w:w="3110"/>
            <w:gridCol w:w="2832"/>
          </w:tblGrid>
        </w:tblGridChange>
      </w:tblGrid>
      <w:tr>
        <w:trPr>
          <w:trHeight w:val="120" w:hRule="atLeast"/>
        </w:trPr>
        <w:tc>
          <w:tcPr/>
          <w:p w:rsidR="00000000" w:rsidDel="00000000" w:rsidP="00000000" w:rsidRDefault="00000000" w:rsidRPr="00000000" w14:paraId="00000055">
            <w:pPr>
              <w:bidi w:val="1"/>
              <w:contextualSpacing w:val="0"/>
              <w:jc w:val="center"/>
              <w:rPr>
                <w:rFonts w:ascii="Sakkal Majalla" w:cs="Sakkal Majalla" w:eastAsia="Sakkal Majalla" w:hAnsi="Sakkal Majalla"/>
                <w:b w:val="0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6">
            <w:pPr>
              <w:bidi w:val="1"/>
              <w:contextualSpacing w:val="0"/>
              <w:jc w:val="center"/>
              <w:rPr>
                <w:rFonts w:ascii="Sakkal Majalla" w:cs="Sakkal Majalla" w:eastAsia="Sakkal Majalla" w:hAnsi="Sakkal Majalla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36"/>
                <w:szCs w:val="36"/>
                <w:rtl w:val="1"/>
              </w:rPr>
              <w:t xml:space="preserve">المشروعات</w:t>
            </w:r>
          </w:p>
        </w:tc>
      </w:tr>
      <w:tr>
        <w:trPr>
          <w:trHeight w:val="120" w:hRule="atLeast"/>
        </w:trPr>
        <w:tc>
          <w:tcPr>
            <w:vMerge w:val="restart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contextualSpacing w:val="1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5B">
            <w:pPr>
              <w:bidi w:val="1"/>
              <w:contextualSpacing w:val="0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المشروع</w:t>
            </w:r>
          </w:p>
        </w:tc>
        <w:tc>
          <w:tcPr/>
          <w:p w:rsidR="00000000" w:rsidDel="00000000" w:rsidP="00000000" w:rsidRDefault="00000000" w:rsidRPr="00000000" w14:paraId="0000005C">
            <w:pPr>
              <w:bidi w:val="1"/>
              <w:contextualSpacing w:val="0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الجهة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المالكة</w:t>
            </w:r>
          </w:p>
        </w:tc>
        <w:tc>
          <w:tcPr/>
          <w:p w:rsidR="00000000" w:rsidDel="00000000" w:rsidP="00000000" w:rsidRDefault="00000000" w:rsidRPr="00000000" w14:paraId="0000005D">
            <w:pPr>
              <w:bidi w:val="1"/>
              <w:contextualSpacing w:val="0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الجهة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المنفذة</w:t>
            </w:r>
          </w:p>
        </w:tc>
        <w:tc>
          <w:tcPr/>
          <w:p w:rsidR="00000000" w:rsidDel="00000000" w:rsidP="00000000" w:rsidRDefault="00000000" w:rsidRPr="00000000" w14:paraId="0000005E">
            <w:pPr>
              <w:bidi w:val="1"/>
              <w:contextualSpacing w:val="0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بداية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ومدة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التنفيذ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العقد</w:t>
            </w:r>
          </w:p>
        </w:tc>
      </w:tr>
      <w:tr>
        <w:trPr>
          <w:trHeight w:val="1100" w:hRule="atLeast"/>
        </w:trPr>
        <w:tc>
          <w:tcPr>
            <w:vMerge w:val="continue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bidi w:val="1"/>
              <w:contextualSpacing w:val="0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تشغيل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مركز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الأمير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سلطان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بن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عبدالعزيز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للخدمات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المساندة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المرحلة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السادسة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1">
            <w:pPr>
              <w:bidi w:val="1"/>
              <w:contextualSpacing w:val="0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وكالة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الوزارة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للبرامج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 </w:t>
            </w:r>
          </w:p>
          <w:p w:rsidR="00000000" w:rsidDel="00000000" w:rsidP="00000000" w:rsidRDefault="00000000" w:rsidRPr="00000000" w14:paraId="00000062">
            <w:pPr>
              <w:bidi w:val="1"/>
              <w:contextualSpacing w:val="0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3">
            <w:pPr>
              <w:bidi w:val="1"/>
              <w:contextualSpacing w:val="0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شركة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تطوير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التعليم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القابضة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     </w:t>
            </w:r>
          </w:p>
          <w:p w:rsidR="00000000" w:rsidDel="00000000" w:rsidP="00000000" w:rsidRDefault="00000000" w:rsidRPr="00000000" w14:paraId="00000064">
            <w:pPr>
              <w:bidi w:val="1"/>
              <w:contextualSpacing w:val="0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65">
            <w:pPr>
              <w:bidi w:val="1"/>
              <w:contextualSpacing w:val="0"/>
              <w:jc w:val="center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ثلاث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سنوات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بدءا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ً</w:t>
            </w:r>
          </w:p>
          <w:p w:rsidR="00000000" w:rsidDel="00000000" w:rsidP="00000000" w:rsidRDefault="00000000" w:rsidRPr="00000000" w14:paraId="00000066">
            <w:pPr>
              <w:bidi w:val="1"/>
              <w:contextualSpacing w:val="0"/>
              <w:jc w:val="center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0"/>
              </w:rPr>
              <w:t xml:space="preserve"> 15/11/2021</w:t>
            </w:r>
          </w:p>
        </w:tc>
      </w:tr>
      <w:tr>
        <w:trPr>
          <w:trHeight w:val="120" w:hRule="atLeast"/>
        </w:trPr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contextualSpacing w:val="1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bidi w:val="1"/>
              <w:contextualSpacing w:val="0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تشغيل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مركز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همة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للخدمات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المساندة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للتربية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الخاصة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القصيم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bidi w:val="1"/>
              <w:contextualSpacing w:val="0"/>
              <w:jc w:val="center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ثلاث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سنوات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بدءا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ً</w:t>
            </w:r>
          </w:p>
          <w:p w:rsidR="00000000" w:rsidDel="00000000" w:rsidP="00000000" w:rsidRDefault="00000000" w:rsidRPr="00000000" w14:paraId="0000006C">
            <w:pPr>
              <w:bidi w:val="1"/>
              <w:contextualSpacing w:val="0"/>
              <w:jc w:val="center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0"/>
              </w:rPr>
              <w:t xml:space="preserve"> 18/10/2021</w:t>
            </w:r>
          </w:p>
        </w:tc>
      </w:tr>
      <w:tr>
        <w:trPr>
          <w:trHeight w:val="120" w:hRule="atLeast"/>
        </w:trPr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contextualSpacing w:val="1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bidi w:val="1"/>
              <w:contextualSpacing w:val="0"/>
              <w:jc w:val="both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تشغيل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مركز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همة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للخدمات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المساندة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للتربية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الخاصة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الخبر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bidi w:val="1"/>
              <w:contextualSpacing w:val="0"/>
              <w:jc w:val="center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ثلاث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سنوات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بدءا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1"/>
              </w:rPr>
              <w:t xml:space="preserve">ً</w:t>
            </w:r>
          </w:p>
          <w:p w:rsidR="00000000" w:rsidDel="00000000" w:rsidP="00000000" w:rsidRDefault="00000000" w:rsidRPr="00000000" w14:paraId="00000072">
            <w:pPr>
              <w:bidi w:val="1"/>
              <w:contextualSpacing w:val="0"/>
              <w:jc w:val="center"/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rtl w:val="0"/>
              </w:rPr>
              <w:t xml:space="preserve"> 26/10/2021</w:t>
            </w:r>
          </w:p>
        </w:tc>
      </w:tr>
    </w:tbl>
    <w:p w:rsidR="00000000" w:rsidDel="00000000" w:rsidP="00000000" w:rsidRDefault="00000000" w:rsidRPr="00000000" w14:paraId="00000073">
      <w:pPr>
        <w:bidi w:val="1"/>
        <w:spacing w:after="120" w:before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1906" w:w="16838"/>
      <w:pgMar w:bottom="1800" w:top="1800" w:left="1440" w:right="1440" w:header="708" w:footer="708"/>
      <w:pgNumType w:start="1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Sakkal Majall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الصفحة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من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pPr>
      <w:bidi w:val="1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334CE6"/>
    <w:pPr>
      <w:ind w:left="720"/>
      <w:contextualSpacing w:val="1"/>
    </w:pPr>
  </w:style>
  <w:style w:type="table" w:styleId="4-6">
    <w:name w:val="Grid Table 4 Accent 6"/>
    <w:basedOn w:val="a1"/>
    <w:uiPriority w:val="49"/>
    <w:rsid w:val="000733CA"/>
    <w:pPr>
      <w:spacing w:after="0" w:line="240" w:lineRule="auto"/>
    </w:pPr>
    <w:tblPr>
      <w:tblStyleRowBandSize w:val="1"/>
      <w:tblStyleColBandSize w:val="1"/>
      <w:tblBorders>
        <w:top w:color="a8d08d" w:space="0" w:sz="4" w:themeColor="accent6" w:themeTint="000099" w:val="single"/>
        <w:left w:color="a8d08d" w:space="0" w:sz="4" w:themeColor="accent6" w:themeTint="000099" w:val="single"/>
        <w:bottom w:color="a8d08d" w:space="0" w:sz="4" w:themeColor="accent6" w:themeTint="000099" w:val="single"/>
        <w:right w:color="a8d08d" w:space="0" w:sz="4" w:themeColor="accent6" w:themeTint="000099" w:val="single"/>
        <w:insideH w:color="a8d08d" w:space="0" w:sz="4" w:themeColor="accent6" w:themeTint="000099" w:val="single"/>
        <w:insideV w:color="a8d08d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70ad47" w:space="0" w:sz="4" w:themeColor="accent6" w:val="single"/>
          <w:left w:color="70ad47" w:space="0" w:sz="4" w:themeColor="accent6" w:val="single"/>
          <w:bottom w:color="70ad47" w:space="0" w:sz="4" w:themeColor="accent6" w:val="single"/>
          <w:right w:color="70ad47" w:space="0" w:sz="4" w:themeColor="accent6" w:val="single"/>
          <w:insideH w:space="0" w:sz="0" w:val="nil"/>
          <w:insideV w:space="0" w:sz="0" w:val="nil"/>
        </w:tcBorders>
        <w:shd w:color="auto" w:fill="70ad47" w:themeFill="accent6" w:val="clear"/>
      </w:tcPr>
    </w:tblStylePr>
    <w:tblStylePr w:type="lastRow">
      <w:rPr>
        <w:b w:val="1"/>
        <w:bCs w:val="1"/>
      </w:rPr>
      <w:tblPr/>
      <w:tcPr>
        <w:tcBorders>
          <w:top w:color="70ad47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2efd9" w:themeFill="accent6" w:themeFillTint="000033" w:val="clear"/>
      </w:tcPr>
    </w:tblStylePr>
    <w:tblStylePr w:type="band1Horz">
      <w:tblPr/>
      <w:tcPr>
        <w:shd w:color="auto" w:fill="e2efd9" w:themeFill="accent6" w:themeFillTint="000033" w:val="clear"/>
      </w:tcPr>
    </w:tblStylePr>
  </w:style>
  <w:style w:type="table" w:styleId="4-5">
    <w:name w:val="Grid Table 4 Accent 5"/>
    <w:basedOn w:val="a1"/>
    <w:uiPriority w:val="49"/>
    <w:rsid w:val="00EF2992"/>
    <w:pPr>
      <w:spacing w:after="0" w:line="240" w:lineRule="auto"/>
    </w:pPr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  <w:insideV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table" w:styleId="4-4">
    <w:name w:val="Grid Table 4 Accent 4"/>
    <w:basedOn w:val="a1"/>
    <w:uiPriority w:val="49"/>
    <w:rsid w:val="00EF2992"/>
    <w:pPr>
      <w:spacing w:after="0" w:line="240" w:lineRule="auto"/>
    </w:pPr>
    <w:tblPr>
      <w:tblStyleRowBandSize w:val="1"/>
      <w:tblStyleColBandSize w:val="1"/>
      <w:tblBorders>
        <w:top w:color="ffd966" w:space="0" w:sz="4" w:themeColor="accent4" w:themeTint="000099" w:val="single"/>
        <w:left w:color="ffd966" w:space="0" w:sz="4" w:themeColor="accent4" w:themeTint="000099" w:val="single"/>
        <w:bottom w:color="ffd966" w:space="0" w:sz="4" w:themeColor="accent4" w:themeTint="000099" w:val="single"/>
        <w:right w:color="ffd966" w:space="0" w:sz="4" w:themeColor="accent4" w:themeTint="000099" w:val="single"/>
        <w:insideH w:color="ffd966" w:space="0" w:sz="4" w:themeColor="accent4" w:themeTint="000099" w:val="single"/>
        <w:insideV w:color="ffd966" w:space="0" w:sz="4" w:themeColor="accent4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ffc000" w:space="0" w:sz="4" w:themeColor="accent4" w:val="single"/>
          <w:left w:color="ffc000" w:space="0" w:sz="4" w:themeColor="accent4" w:val="single"/>
          <w:bottom w:color="ffc000" w:space="0" w:sz="4" w:themeColor="accent4" w:val="single"/>
          <w:right w:color="ffc000" w:space="0" w:sz="4" w:themeColor="accent4" w:val="single"/>
          <w:insideH w:space="0" w:sz="0" w:val="nil"/>
          <w:insideV w:space="0" w:sz="0" w:val="nil"/>
        </w:tcBorders>
        <w:shd w:color="auto" w:fill="ffc000" w:themeFill="accent4" w:val="clear"/>
      </w:tcPr>
    </w:tblStylePr>
    <w:tblStylePr w:type="lastRow">
      <w:rPr>
        <w:b w:val="1"/>
        <w:bCs w:val="1"/>
      </w:rPr>
      <w:tblPr/>
      <w:tcPr>
        <w:tcBorders>
          <w:top w:color="ffc000" w:space="0" w:sz="4" w:themeColor="accent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f2cc" w:themeFill="accent4" w:themeFillTint="000033" w:val="clear"/>
      </w:tcPr>
    </w:tblStylePr>
    <w:tblStylePr w:type="band1Horz">
      <w:tblPr/>
      <w:tcPr>
        <w:shd w:color="auto" w:fill="fff2cc" w:themeFill="accent4" w:themeFillTint="000033" w:val="clear"/>
      </w:tcPr>
    </w:tblStylePr>
  </w:style>
  <w:style w:type="paragraph" w:styleId="a4">
    <w:name w:val="header"/>
    <w:basedOn w:val="a"/>
    <w:link w:val="Char"/>
    <w:uiPriority w:val="99"/>
    <w:unhideWhenUsed w:val="1"/>
    <w:rsid w:val="00EF2992"/>
    <w:pPr>
      <w:tabs>
        <w:tab w:val="center" w:pos="4153"/>
        <w:tab w:val="right" w:pos="8306"/>
      </w:tabs>
      <w:spacing w:after="0" w:line="240" w:lineRule="auto"/>
    </w:pPr>
  </w:style>
  <w:style w:type="character" w:styleId="Char" w:customStyle="1">
    <w:name w:val="رأس الصفحة Char"/>
    <w:basedOn w:val="a0"/>
    <w:link w:val="a4"/>
    <w:uiPriority w:val="99"/>
    <w:rsid w:val="00EF2992"/>
  </w:style>
  <w:style w:type="paragraph" w:styleId="a5">
    <w:name w:val="footer"/>
    <w:basedOn w:val="a"/>
    <w:link w:val="Char0"/>
    <w:uiPriority w:val="99"/>
    <w:unhideWhenUsed w:val="1"/>
    <w:rsid w:val="00EF2992"/>
    <w:pPr>
      <w:tabs>
        <w:tab w:val="center" w:pos="4153"/>
        <w:tab w:val="right" w:pos="8306"/>
      </w:tabs>
      <w:spacing w:after="0" w:line="240" w:lineRule="auto"/>
    </w:pPr>
  </w:style>
  <w:style w:type="character" w:styleId="Char0" w:customStyle="1">
    <w:name w:val="تذييل الصفحة Char"/>
    <w:basedOn w:val="a0"/>
    <w:link w:val="a5"/>
    <w:uiPriority w:val="99"/>
    <w:rsid w:val="00EF2992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2efd9" w:val="clear"/>
      </w:tcPr>
    </w:tblStylePr>
    <w:tblStylePr w:type="band1Vert">
      <w:tcPr>
        <w:shd w:fill="e2efd9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70ad47" w:space="0" w:sz="4" w:val="single"/>
          <w:left w:color="70ad47" w:space="0" w:sz="4" w:val="single"/>
          <w:bottom w:color="70ad47" w:space="0" w:sz="4" w:val="single"/>
          <w:right w:color="70ad47" w:space="0" w:sz="4" w:val="single"/>
          <w:insideH w:color="000000" w:space="0" w:sz="0" w:val="nil"/>
          <w:insideV w:color="000000" w:space="0" w:sz="0" w:val="nil"/>
        </w:tcBorders>
        <w:shd w:fill="70ad47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70ad47" w:space="0" w:sz="4" w:val="single"/>
        </w:tcBorders>
      </w:tcPr>
    </w:tblStyle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eebf6" w:val="clear"/>
      </w:tcPr>
    </w:tblStylePr>
    <w:tblStylePr w:type="band1Vert">
      <w:tcPr>
        <w:shd w:fill="deebf6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color="000000" w:space="0" w:sz="0" w:val="nil"/>
          <w:insideV w:color="000000" w:space="0" w:sz="0" w:val="nil"/>
        </w:tcBorders>
        <w:shd w:fill="5b9bd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5b9bd5" w:space="0" w:sz="4" w:val="single"/>
        </w:tcBorders>
      </w:tcPr>
    </w:tblStyle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ff2cc" w:val="clear"/>
      </w:tcPr>
    </w:tblStylePr>
    <w:tblStylePr w:type="band1Vert">
      <w:tcPr>
        <w:shd w:fill="fff2cc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ffc000" w:space="0" w:sz="4" w:val="single"/>
          <w:left w:color="ffc000" w:space="0" w:sz="4" w:val="single"/>
          <w:bottom w:color="ffc000" w:space="0" w:sz="4" w:val="single"/>
          <w:right w:color="ffc000" w:space="0" w:sz="4" w:val="single"/>
          <w:insideH w:color="000000" w:space="0" w:sz="0" w:val="nil"/>
          <w:insideV w:color="000000" w:space="0" w:sz="0" w:val="nil"/>
        </w:tcBorders>
        <w:shd w:fill="ffc000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ffc000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